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B1" w:rsidRPr="00C312B1" w:rsidRDefault="00C312B1" w:rsidP="00C312B1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2B1">
        <w:rPr>
          <w:rFonts w:ascii="Times New Roman" w:hAnsi="Times New Roman" w:cs="Times New Roman"/>
          <w:sz w:val="28"/>
          <w:szCs w:val="28"/>
        </w:rPr>
        <w:fldChar w:fldCharType="begin"/>
      </w:r>
      <w:r w:rsidRPr="00C312B1">
        <w:rPr>
          <w:rFonts w:ascii="Times New Roman" w:hAnsi="Times New Roman" w:cs="Times New Roman"/>
          <w:sz w:val="28"/>
          <w:szCs w:val="28"/>
        </w:rPr>
        <w:instrText xml:space="preserve"> HYPERLINK "https://dou4.pogranichny.org/wp-content/uploads/sites/9/2020/11/Положение-о-форме-периодичности-и-порядке-текущего-контроля-успеваемости-и-промежуточной-аттестации-воспитанников.pdf" </w:instrText>
      </w:r>
      <w:r w:rsidRPr="00C312B1">
        <w:rPr>
          <w:rFonts w:ascii="Times New Roman" w:hAnsi="Times New Roman" w:cs="Times New Roman"/>
          <w:sz w:val="28"/>
          <w:szCs w:val="28"/>
        </w:rPr>
        <w:fldChar w:fldCharType="separate"/>
      </w:r>
      <w:r w:rsidRPr="00C312B1">
        <w:rPr>
          <w:rStyle w:val="a3"/>
          <w:rFonts w:ascii="Times New Roman" w:hAnsi="Times New Roman" w:cs="Times New Roman"/>
          <w:sz w:val="28"/>
          <w:szCs w:val="28"/>
        </w:rPr>
        <w:t>Форма</w:t>
      </w:r>
      <w:r w:rsidRPr="00C312B1">
        <w:rPr>
          <w:rStyle w:val="a3"/>
          <w:rFonts w:ascii="Times New Roman" w:hAnsi="Times New Roman" w:cs="Times New Roman"/>
          <w:sz w:val="28"/>
          <w:szCs w:val="28"/>
        </w:rPr>
        <w:t xml:space="preserve"> периодичности и порядке текущего контроля успеваемости и промежуточной аттестации </w:t>
      </w:r>
      <w:proofErr w:type="spellStart"/>
      <w:r w:rsidRPr="00C312B1">
        <w:rPr>
          <w:rStyle w:val="a3"/>
          <w:rFonts w:ascii="Times New Roman" w:hAnsi="Times New Roman" w:cs="Times New Roman"/>
          <w:sz w:val="28"/>
          <w:szCs w:val="28"/>
        </w:rPr>
        <w:t>воспитанников</w:t>
      </w:r>
      <w:r w:rsidRPr="00C312B1">
        <w:rPr>
          <w:rFonts w:ascii="Times New Roman" w:hAnsi="Times New Roman" w:cs="Times New Roman"/>
          <w:sz w:val="28"/>
          <w:szCs w:val="28"/>
        </w:rPr>
        <w:fldChar w:fldCharType="end"/>
      </w:r>
      <w:proofErr w:type="spellEnd"/>
    </w:p>
    <w:p w:rsidR="00C312B1" w:rsidRPr="00C312B1" w:rsidRDefault="00C312B1" w:rsidP="00C312B1">
      <w:pPr>
        <w:jc w:val="both"/>
        <w:rPr>
          <w:rFonts w:ascii="Times New Roman" w:hAnsi="Times New Roman" w:cs="Times New Roman"/>
          <w:sz w:val="28"/>
          <w:szCs w:val="28"/>
        </w:rPr>
      </w:pPr>
      <w:r w:rsidRPr="00C312B1">
        <w:rPr>
          <w:rFonts w:ascii="Times New Roman" w:hAnsi="Times New Roman" w:cs="Times New Roman"/>
          <w:sz w:val="28"/>
          <w:szCs w:val="28"/>
        </w:rPr>
        <w:t>В соответствии с 273 - ФЗ «О</w:t>
      </w:r>
      <w:bookmarkStart w:id="0" w:name="_GoBack"/>
      <w:bookmarkEnd w:id="0"/>
      <w:r w:rsidRPr="00C312B1">
        <w:rPr>
          <w:rFonts w:ascii="Times New Roman" w:hAnsi="Times New Roman" w:cs="Times New Roman"/>
          <w:sz w:val="28"/>
          <w:szCs w:val="28"/>
        </w:rPr>
        <w:t xml:space="preserve">б образовании в РФ» (ст.64, п. 2 ) «Образовательные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обучающихся». </w:t>
      </w:r>
    </w:p>
    <w:p w:rsidR="008954E4" w:rsidRPr="00C312B1" w:rsidRDefault="00C312B1" w:rsidP="00C312B1">
      <w:pPr>
        <w:jc w:val="both"/>
        <w:rPr>
          <w:rFonts w:ascii="Times New Roman" w:hAnsi="Times New Roman" w:cs="Times New Roman"/>
          <w:sz w:val="28"/>
          <w:szCs w:val="28"/>
        </w:rPr>
      </w:pPr>
      <w:r w:rsidRPr="00C312B1">
        <w:rPr>
          <w:rFonts w:ascii="Times New Roman" w:hAnsi="Times New Roman" w:cs="Times New Roman"/>
          <w:sz w:val="28"/>
          <w:szCs w:val="28"/>
        </w:rPr>
        <w:t>Согласно Приказа Министерства образования и науки Российской Федерации от 17 октября 2013 г. № 1155 результаты освоения Программы представлены в виде целевых ориентиров дошкольного образования, которые представляют собой социально</w:t>
      </w:r>
      <w:r w:rsidRPr="00C312B1">
        <w:rPr>
          <w:rFonts w:ascii="Times New Roman" w:hAnsi="Times New Roman" w:cs="Times New Roman"/>
          <w:sz w:val="28"/>
          <w:szCs w:val="28"/>
        </w:rPr>
        <w:t>нормативные возрастные характеристики возможных достижений ребёнка на этапе завершения уровня дошкольного образования.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</w:t>
      </w:r>
    </w:p>
    <w:sectPr w:rsidR="008954E4" w:rsidRPr="00C3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B1"/>
    <w:rsid w:val="008954E4"/>
    <w:rsid w:val="00C3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BF4B"/>
  <w15:chartTrackingRefBased/>
  <w15:docId w15:val="{BECDB4F8-6983-41DF-A6E0-697FE222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1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2024-12-03T14:25:00Z</dcterms:created>
  <dcterms:modified xsi:type="dcterms:W3CDTF">2024-12-03T14:27:00Z</dcterms:modified>
</cp:coreProperties>
</file>